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50" w:rsidRPr="00A333F3" w:rsidRDefault="00FB345E" w:rsidP="006A13D8">
      <w:pPr>
        <w:spacing w:after="0"/>
        <w:jc w:val="center"/>
        <w:rPr>
          <w:b/>
        </w:rPr>
      </w:pPr>
      <w:bookmarkStart w:id="0" w:name="_GoBack"/>
      <w:permStart w:id="936056527" w:edGrp="everyone"/>
      <w:r w:rsidRPr="00A333F3">
        <w:rPr>
          <w:b/>
        </w:rPr>
        <w:t>GEBZE GÜZELLER ORGANİZE SANAYİ BÖLGESİ</w:t>
      </w:r>
    </w:p>
    <w:p w:rsidR="00FB345E" w:rsidRPr="00A333F3" w:rsidRDefault="00A333F3" w:rsidP="006A13D8">
      <w:pPr>
        <w:spacing w:after="0"/>
        <w:jc w:val="center"/>
        <w:rPr>
          <w:b/>
        </w:rPr>
      </w:pPr>
      <w:r>
        <w:rPr>
          <w:b/>
        </w:rPr>
        <w:t xml:space="preserve">KONFERANS VE </w:t>
      </w:r>
      <w:r w:rsidR="00FB345E" w:rsidRPr="00A333F3">
        <w:rPr>
          <w:b/>
        </w:rPr>
        <w:t>SERGİ SALONU</w:t>
      </w:r>
    </w:p>
    <w:p w:rsidR="00C22685" w:rsidRDefault="00FB345E" w:rsidP="006A13D8">
      <w:pPr>
        <w:spacing w:after="0"/>
        <w:jc w:val="center"/>
        <w:rPr>
          <w:b/>
        </w:rPr>
      </w:pPr>
      <w:r w:rsidRPr="00A333F3">
        <w:rPr>
          <w:b/>
        </w:rPr>
        <w:t>TANITIM</w:t>
      </w:r>
    </w:p>
    <w:p w:rsidR="006A13D8" w:rsidRPr="006A13D8" w:rsidRDefault="006A13D8" w:rsidP="006A13D8">
      <w:pPr>
        <w:spacing w:after="0"/>
        <w:jc w:val="center"/>
        <w:rPr>
          <w:b/>
        </w:rPr>
      </w:pPr>
    </w:p>
    <w:p w:rsidR="004178D6" w:rsidRDefault="006A13D8" w:rsidP="008C6620">
      <w:pPr>
        <w:pStyle w:val="ListeParagraf"/>
        <w:numPr>
          <w:ilvl w:val="0"/>
          <w:numId w:val="1"/>
        </w:numPr>
      </w:pPr>
      <w:r>
        <w:t xml:space="preserve">Gebze Güzeller Organize Sanayi </w:t>
      </w:r>
      <w:r w:rsidR="004178D6">
        <w:t>Bölgemizin Sosyal ve Kültürel hareketliliğini artıran, aynı zamanda Sanayimizin bilim, kültür ve sanat yaşamına büyük katkıda bulunan Konfe</w:t>
      </w:r>
      <w:r w:rsidR="00076793">
        <w:t>rans ve Sergi Salonu her türlü Seminer, Konferans ve K</w:t>
      </w:r>
      <w:r w:rsidR="004178D6">
        <w:t>ültürel etkinliği düzenlenmesine olanak sağlayacak biçimde yapılmıştır.</w:t>
      </w:r>
    </w:p>
    <w:p w:rsidR="000600A9" w:rsidRDefault="000600A9" w:rsidP="000600A9">
      <w:pPr>
        <w:pStyle w:val="ListeParagraf"/>
        <w:ind w:left="786"/>
      </w:pPr>
    </w:p>
    <w:p w:rsidR="00FC12BC" w:rsidRDefault="00FC12BC" w:rsidP="000600A9">
      <w:pPr>
        <w:pStyle w:val="ListeParagraf"/>
        <w:numPr>
          <w:ilvl w:val="0"/>
          <w:numId w:val="4"/>
        </w:numPr>
      </w:pPr>
      <w:r>
        <w:t>Fuayede sergi, kokteyl yapılabilen geniş bir alan</w:t>
      </w:r>
      <w:r w:rsidR="00DD5873">
        <w:t xml:space="preserve">  </w:t>
      </w:r>
      <w:r w:rsidR="00B01191">
        <w:t xml:space="preserve">  </w:t>
      </w:r>
      <w:r w:rsidR="00DD5873">
        <w:t>(</w:t>
      </w:r>
      <w:r w:rsidR="00B01191">
        <w:t xml:space="preserve">   ̴</w:t>
      </w:r>
      <w:r w:rsidR="00DD5873">
        <w:t xml:space="preserve"> m</w:t>
      </w:r>
      <w:r w:rsidR="00B01191">
        <w:t>²</w:t>
      </w:r>
      <w:r w:rsidR="00DD5873">
        <w:t xml:space="preserve"> </w:t>
      </w:r>
      <w:r w:rsidR="00B01191">
        <w:t xml:space="preserve">) </w:t>
      </w:r>
      <w:r w:rsidR="00DD5873">
        <w:t xml:space="preserve"> </w:t>
      </w:r>
      <w:r>
        <w:t>mevcuttur.</w:t>
      </w:r>
    </w:p>
    <w:p w:rsidR="00FC12BC" w:rsidRDefault="00FC12BC" w:rsidP="000600A9">
      <w:pPr>
        <w:pStyle w:val="ListeParagraf"/>
        <w:numPr>
          <w:ilvl w:val="0"/>
          <w:numId w:val="5"/>
        </w:numPr>
      </w:pPr>
      <w:r>
        <w:t xml:space="preserve">Sahne arkasında sanatçılar için soyunma ve dinlenme odaları </w:t>
      </w:r>
      <w:r w:rsidR="00B60D84">
        <w:t xml:space="preserve">(Kulis) </w:t>
      </w:r>
      <w:r>
        <w:t>mevcuttur.</w:t>
      </w:r>
    </w:p>
    <w:p w:rsidR="00FC12BC" w:rsidRDefault="00FC12BC" w:rsidP="000600A9">
      <w:pPr>
        <w:pStyle w:val="ListeParagraf"/>
        <w:numPr>
          <w:ilvl w:val="0"/>
          <w:numId w:val="5"/>
        </w:numPr>
      </w:pPr>
      <w:r>
        <w:t>Tüm bina ve salonda kablosuz internet mevcuttur.</w:t>
      </w:r>
    </w:p>
    <w:p w:rsidR="00FC12BC" w:rsidRDefault="00FC12BC" w:rsidP="000600A9">
      <w:pPr>
        <w:pStyle w:val="ListeParagraf"/>
        <w:numPr>
          <w:ilvl w:val="0"/>
          <w:numId w:val="5"/>
        </w:numPr>
      </w:pPr>
      <w:r>
        <w:t>Tüm bina içinde ısıtma ve soğ</w:t>
      </w:r>
      <w:r w:rsidR="006A13D8">
        <w:t xml:space="preserve">utma ile havalandırma tesisatı </w:t>
      </w:r>
      <w:r>
        <w:t>merkezi sistem ile sağlanmaktadır.</w:t>
      </w:r>
    </w:p>
    <w:p w:rsidR="008C6620" w:rsidRDefault="006A13D8" w:rsidP="000600A9">
      <w:pPr>
        <w:pStyle w:val="ListeParagraf"/>
        <w:numPr>
          <w:ilvl w:val="0"/>
          <w:numId w:val="5"/>
        </w:numPr>
      </w:pPr>
      <w:r>
        <w:t xml:space="preserve">Salonumuz </w:t>
      </w:r>
      <w:r w:rsidR="008C6620">
        <w:t>116 Kişi İzleyici, 26 Delege, 8 Protokol ve 6 Konuşmacı Kapasitesi olmak üzere toplam 156 kişiliktir.</w:t>
      </w:r>
    </w:p>
    <w:p w:rsidR="00B41EB7" w:rsidRDefault="00B41EB7" w:rsidP="000600A9">
      <w:pPr>
        <w:pStyle w:val="ListeParagraf"/>
        <w:numPr>
          <w:ilvl w:val="0"/>
          <w:numId w:val="5"/>
        </w:numPr>
      </w:pPr>
      <w:r>
        <w:t>Üzerinde Dokunmatik Bilgisayar bulunan ve Konuşmacının Bilgilerini Ön ekranda gösteren te</w:t>
      </w:r>
      <w:r w:rsidR="006A13D8">
        <w:t xml:space="preserve">k mikrofonlu konferans kürsüsü </w:t>
      </w:r>
      <w:r>
        <w:t>mevcuttur.</w:t>
      </w:r>
    </w:p>
    <w:p w:rsidR="00B41EB7" w:rsidRDefault="00B41EB7" w:rsidP="000600A9">
      <w:pPr>
        <w:pStyle w:val="ListeParagraf"/>
        <w:numPr>
          <w:ilvl w:val="0"/>
          <w:numId w:val="5"/>
        </w:numPr>
      </w:pPr>
      <w:r>
        <w:t>El telsiz mikro</w:t>
      </w:r>
      <w:r w:rsidR="006A13D8">
        <w:t xml:space="preserve">fonu, yaka telsiz mikrofonu ve </w:t>
      </w:r>
      <w:r>
        <w:t xml:space="preserve">8 </w:t>
      </w:r>
      <w:proofErr w:type="gramStart"/>
      <w:r>
        <w:t>adete</w:t>
      </w:r>
      <w:proofErr w:type="gramEnd"/>
      <w:r>
        <w:t xml:space="preserve"> kadar bağlantı yapabilecek mikrofon sistemine sahiptir.</w:t>
      </w:r>
    </w:p>
    <w:p w:rsidR="00B41EB7" w:rsidRDefault="00B41EB7" w:rsidP="000600A9">
      <w:pPr>
        <w:pStyle w:val="ListeParagraf"/>
        <w:numPr>
          <w:ilvl w:val="0"/>
          <w:numId w:val="5"/>
        </w:numPr>
      </w:pPr>
      <w:r>
        <w:t xml:space="preserve">1 Başkan 16 Delege olmak üzere oylama yapabilen toplam 17 adet </w:t>
      </w:r>
      <w:r w:rsidR="005D2F9E">
        <w:t xml:space="preserve">oylama ve </w:t>
      </w:r>
      <w:r>
        <w:t>masa mikrofonları mevcuttur.</w:t>
      </w:r>
    </w:p>
    <w:p w:rsidR="003D6941" w:rsidRDefault="003D6941" w:rsidP="000600A9">
      <w:pPr>
        <w:pStyle w:val="ListeParagraf"/>
        <w:numPr>
          <w:ilvl w:val="0"/>
          <w:numId w:val="5"/>
        </w:numPr>
      </w:pPr>
      <w:r>
        <w:t xml:space="preserve">Konuşmacıya; konuşma esnasında otomatik dönen ve </w:t>
      </w:r>
      <w:proofErr w:type="gramStart"/>
      <w:r>
        <w:t>projeksiyona</w:t>
      </w:r>
      <w:proofErr w:type="gramEnd"/>
      <w:r>
        <w:t xml:space="preserve"> görüntü veren aynı zamanda kayıt olanağı sağlayan 2 adet Kamera mevcuttur.</w:t>
      </w:r>
    </w:p>
    <w:p w:rsidR="00A223FF" w:rsidRDefault="002A65ED" w:rsidP="000600A9">
      <w:pPr>
        <w:pStyle w:val="ListeParagraf"/>
        <w:numPr>
          <w:ilvl w:val="0"/>
          <w:numId w:val="5"/>
        </w:numPr>
      </w:pPr>
      <w:r>
        <w:t>Arka sırada oturanlar için he</w:t>
      </w:r>
      <w:r w:rsidR="006A13D8">
        <w:t xml:space="preserve">m sağda hem de solda 2 adet </w:t>
      </w:r>
      <w:r w:rsidR="000D61C2">
        <w:t xml:space="preserve">TV </w:t>
      </w:r>
      <w:r>
        <w:t>mevcuttur.</w:t>
      </w:r>
    </w:p>
    <w:p w:rsidR="002A65ED" w:rsidRDefault="002A65ED" w:rsidP="000600A9">
      <w:pPr>
        <w:pStyle w:val="ListeParagraf"/>
        <w:numPr>
          <w:ilvl w:val="0"/>
          <w:numId w:val="5"/>
        </w:numPr>
      </w:pPr>
      <w:r>
        <w:t xml:space="preserve">Canlı müzik teknik </w:t>
      </w:r>
      <w:proofErr w:type="gramStart"/>
      <w:r>
        <w:t>ekipmanları</w:t>
      </w:r>
      <w:proofErr w:type="gramEnd"/>
      <w:r w:rsidR="00A223FF">
        <w:t xml:space="preserve"> mevcuttur.</w:t>
      </w:r>
    </w:p>
    <w:p w:rsidR="002A65ED" w:rsidRDefault="002A65ED" w:rsidP="000600A9">
      <w:pPr>
        <w:pStyle w:val="ListeParagraf"/>
        <w:numPr>
          <w:ilvl w:val="0"/>
          <w:numId w:val="5"/>
        </w:numPr>
      </w:pPr>
      <w:r>
        <w:t xml:space="preserve">(24 Kanal Ses Mikseri, Solist ve </w:t>
      </w:r>
      <w:proofErr w:type="spellStart"/>
      <w:r>
        <w:t>Enstruman</w:t>
      </w:r>
      <w:proofErr w:type="spellEnd"/>
      <w:r>
        <w:t xml:space="preserve"> Mikrofonları)</w:t>
      </w:r>
    </w:p>
    <w:p w:rsidR="00FC1D79" w:rsidRDefault="002A65ED" w:rsidP="000600A9">
      <w:pPr>
        <w:pStyle w:val="ListeParagraf"/>
        <w:numPr>
          <w:ilvl w:val="0"/>
          <w:numId w:val="5"/>
        </w:numPr>
      </w:pPr>
      <w:r>
        <w:t>2 Bas, 2 Monitö</w:t>
      </w:r>
      <w:r w:rsidR="00FC1D79">
        <w:t xml:space="preserve">r, 8 </w:t>
      </w:r>
      <w:proofErr w:type="spellStart"/>
      <w:proofErr w:type="gramStart"/>
      <w:r w:rsidR="00FC1D79">
        <w:t>Surround</w:t>
      </w:r>
      <w:proofErr w:type="spellEnd"/>
      <w:r w:rsidR="00FC1D79">
        <w:t xml:space="preserve">  Hoparlör</w:t>
      </w:r>
      <w:proofErr w:type="gramEnd"/>
      <w:r w:rsidR="00FC1D79">
        <w:t xml:space="preserve"> sistemi mevcuttur.</w:t>
      </w:r>
    </w:p>
    <w:p w:rsidR="00FC1D79" w:rsidRDefault="00FC1D79" w:rsidP="000600A9">
      <w:pPr>
        <w:pStyle w:val="ListeParagraf"/>
        <w:numPr>
          <w:ilvl w:val="0"/>
          <w:numId w:val="5"/>
        </w:numPr>
      </w:pPr>
      <w:r>
        <w:t>Projeksiyon cihazı ve sahne perdesi mevcuttur.</w:t>
      </w:r>
    </w:p>
    <w:p w:rsidR="00223BA2" w:rsidRDefault="006A13D8" w:rsidP="000600A9">
      <w:pPr>
        <w:pStyle w:val="ListeParagraf"/>
        <w:numPr>
          <w:ilvl w:val="0"/>
          <w:numId w:val="5"/>
        </w:numPr>
      </w:pPr>
      <w:r>
        <w:t xml:space="preserve">Konferansının </w:t>
      </w:r>
      <w:r w:rsidR="002A65ED">
        <w:t xml:space="preserve">görüntüsünü ve sesini </w:t>
      </w:r>
      <w:proofErr w:type="gramStart"/>
      <w:r w:rsidR="002A65ED">
        <w:t>fuaye</w:t>
      </w:r>
      <w:proofErr w:type="gramEnd"/>
      <w:r w:rsidR="002A65ED">
        <w:t xml:space="preserve"> alanında da takip</w:t>
      </w:r>
      <w:r>
        <w:t xml:space="preserve"> edilmesi için Büyük boyutlu </w:t>
      </w:r>
      <w:r w:rsidR="0002250C">
        <w:t xml:space="preserve">TV </w:t>
      </w:r>
      <w:r w:rsidR="002A65ED">
        <w:t>ve ses sistemi mevcuttur.</w:t>
      </w:r>
      <w:r w:rsidR="00E40B5E" w:rsidRPr="00E40B5E">
        <w:t xml:space="preserve"> </w:t>
      </w:r>
    </w:p>
    <w:p w:rsidR="00223BA2" w:rsidRDefault="00223BA2" w:rsidP="000600A9">
      <w:pPr>
        <w:pStyle w:val="ListeParagraf"/>
        <w:numPr>
          <w:ilvl w:val="0"/>
          <w:numId w:val="5"/>
        </w:numPr>
      </w:pPr>
      <w:r>
        <w:t xml:space="preserve">Sahne aydınlatması için </w:t>
      </w:r>
      <w:proofErr w:type="spellStart"/>
      <w:r>
        <w:t>Dimmer</w:t>
      </w:r>
      <w:proofErr w:type="spellEnd"/>
      <w:r>
        <w:t xml:space="preserve"> ve 2 adet </w:t>
      </w:r>
      <w:proofErr w:type="spellStart"/>
      <w:r>
        <w:t>efekli</w:t>
      </w:r>
      <w:proofErr w:type="spellEnd"/>
      <w:r>
        <w:t xml:space="preserve"> Robot ışık mevcuttur.</w:t>
      </w:r>
    </w:p>
    <w:p w:rsidR="00E40B5E" w:rsidRDefault="00E40B5E" w:rsidP="000600A9">
      <w:pPr>
        <w:pStyle w:val="ListeParagraf"/>
        <w:numPr>
          <w:ilvl w:val="0"/>
          <w:numId w:val="5"/>
        </w:numPr>
      </w:pPr>
      <w:r>
        <w:t>Konuk</w:t>
      </w:r>
      <w:r w:rsidR="00AA28D4">
        <w:t>lar için toplantı</w:t>
      </w:r>
      <w:r>
        <w:t xml:space="preserve"> odası mevcuttur.</w:t>
      </w:r>
    </w:p>
    <w:p w:rsidR="00C22685" w:rsidRDefault="00E40B5E" w:rsidP="000600A9">
      <w:pPr>
        <w:pStyle w:val="ListeParagraf"/>
        <w:numPr>
          <w:ilvl w:val="0"/>
          <w:numId w:val="5"/>
        </w:numPr>
      </w:pPr>
      <w:r>
        <w:t>Kokteyl için</w:t>
      </w:r>
      <w:r w:rsidR="00C90569">
        <w:t xml:space="preserve"> ön </w:t>
      </w:r>
      <w:r>
        <w:t>mutfak mevcuttur.</w:t>
      </w:r>
    </w:p>
    <w:p w:rsidR="003D442C" w:rsidRDefault="003D442C" w:rsidP="000600A9">
      <w:pPr>
        <w:pStyle w:val="ListeParagraf"/>
        <w:numPr>
          <w:ilvl w:val="0"/>
          <w:numId w:val="5"/>
        </w:numPr>
      </w:pPr>
      <w:r>
        <w:t>Tüm konuklar için ara katta lavabo ve tuvalet mevcuttur.</w:t>
      </w:r>
    </w:p>
    <w:p w:rsidR="00223BA2" w:rsidRDefault="001C4EF3" w:rsidP="006A13D8">
      <w:pPr>
        <w:pStyle w:val="ListeParagraf"/>
        <w:numPr>
          <w:ilvl w:val="0"/>
          <w:numId w:val="5"/>
        </w:numPr>
      </w:pPr>
      <w:r>
        <w:t xml:space="preserve">Fuaye alanında </w:t>
      </w:r>
      <w:r w:rsidR="006A13D8">
        <w:t xml:space="preserve">oturma grupları mevcuttur </w:t>
      </w:r>
      <w:r w:rsidR="00291E05">
        <w:t xml:space="preserve">ve </w:t>
      </w:r>
      <w:r w:rsidR="00C22685">
        <w:t xml:space="preserve">200 Kişilik </w:t>
      </w:r>
      <w:proofErr w:type="gramStart"/>
      <w:r w:rsidR="00C22685">
        <w:t xml:space="preserve">kokteyl </w:t>
      </w:r>
      <w:r>
        <w:t xml:space="preserve"> </w:t>
      </w:r>
      <w:r w:rsidR="00C22685">
        <w:t>düzenlenebilecek</w:t>
      </w:r>
      <w:proofErr w:type="gramEnd"/>
      <w:r w:rsidR="00C22685">
        <w:t xml:space="preserve"> </w:t>
      </w:r>
      <w:r>
        <w:t>kapasitededir.</w:t>
      </w:r>
    </w:p>
    <w:p w:rsidR="008C6620" w:rsidRDefault="00223BA2">
      <w:r>
        <w:t xml:space="preserve">  </w:t>
      </w:r>
    </w:p>
    <w:bookmarkEnd w:id="0"/>
    <w:permEnd w:id="936056527"/>
    <w:p w:rsidR="00FC12BC" w:rsidRDefault="00FC12BC"/>
    <w:sectPr w:rsidR="00FC12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43" w:rsidRDefault="00AC7B43" w:rsidP="006A13D8">
      <w:pPr>
        <w:spacing w:after="0" w:line="240" w:lineRule="auto"/>
      </w:pPr>
      <w:r>
        <w:separator/>
      </w:r>
    </w:p>
  </w:endnote>
  <w:endnote w:type="continuationSeparator" w:id="0">
    <w:p w:rsidR="00AC7B43" w:rsidRDefault="00AC7B43" w:rsidP="006A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A5B" w:rsidRDefault="00B84A5B" w:rsidP="00B84A5B">
    <w:pPr>
      <w:pStyle w:val="stbilgi"/>
    </w:pPr>
  </w:p>
  <w:p w:rsidR="00B84A5B" w:rsidRPr="000E432D" w:rsidRDefault="00B84A5B" w:rsidP="00B84A5B">
    <w:pPr>
      <w:pStyle w:val="AralkYok"/>
      <w:ind w:left="-993"/>
      <w:rPr>
        <w:sz w:val="16"/>
        <w:szCs w:val="16"/>
      </w:rPr>
    </w:pPr>
    <w:r>
      <w:rPr>
        <w:rFonts w:cstheme="minorHAnsi"/>
        <w:sz w:val="18"/>
        <w:szCs w:val="18"/>
      </w:rPr>
      <w:t>DOKUM</w:t>
    </w:r>
    <w:r w:rsidR="00EA50EA">
      <w:rPr>
        <w:rFonts w:cstheme="minorHAnsi"/>
        <w:sz w:val="18"/>
        <w:szCs w:val="18"/>
      </w:rPr>
      <w:t xml:space="preserve">AN NO: </w:t>
    </w:r>
    <w:proofErr w:type="gramStart"/>
    <w:r w:rsidR="00EA50EA">
      <w:rPr>
        <w:rFonts w:cstheme="minorHAnsi"/>
        <w:sz w:val="18"/>
        <w:szCs w:val="18"/>
      </w:rPr>
      <w:t>İD.FR</w:t>
    </w:r>
    <w:proofErr w:type="gramEnd"/>
    <w:r w:rsidR="00EA50EA">
      <w:rPr>
        <w:rFonts w:cstheme="minorHAnsi"/>
        <w:sz w:val="18"/>
        <w:szCs w:val="18"/>
      </w:rPr>
      <w:t>.14 YAYIN TARİHİ: 13</w:t>
    </w:r>
    <w:r>
      <w:rPr>
        <w:rFonts w:cstheme="minorHAnsi"/>
        <w:sz w:val="18"/>
        <w:szCs w:val="18"/>
      </w:rPr>
      <w:t>.01.2022 REVİZYON NO – TARİH: -</w:t>
    </w:r>
  </w:p>
  <w:p w:rsidR="00B84A5B" w:rsidRDefault="00B84A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43" w:rsidRDefault="00AC7B43" w:rsidP="006A13D8">
      <w:pPr>
        <w:spacing w:after="0" w:line="240" w:lineRule="auto"/>
      </w:pPr>
      <w:r>
        <w:separator/>
      </w:r>
    </w:p>
  </w:footnote>
  <w:footnote w:type="continuationSeparator" w:id="0">
    <w:p w:rsidR="00AC7B43" w:rsidRDefault="00AC7B43" w:rsidP="006A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80"/>
      <w:gridCol w:w="2847"/>
      <w:gridCol w:w="3823"/>
    </w:tblGrid>
    <w:tr w:rsidR="006A13D8" w:rsidTr="00676D3D">
      <w:tc>
        <w:tcPr>
          <w:tcW w:w="3070" w:type="dxa"/>
          <w:vMerge w:val="restart"/>
        </w:tcPr>
        <w:p w:rsidR="006A13D8" w:rsidRDefault="006A13D8" w:rsidP="006A13D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0C895A08" wp14:editId="0C4FA3B3">
                <wp:simplePos x="0" y="0"/>
                <wp:positionH relativeFrom="column">
                  <wp:posOffset>543560</wp:posOffset>
                </wp:positionH>
                <wp:positionV relativeFrom="paragraph">
                  <wp:posOffset>46355</wp:posOffset>
                </wp:positionV>
                <wp:extent cx="877084" cy="652675"/>
                <wp:effectExtent l="0" t="0" r="0" b="0"/>
                <wp:wrapNone/>
                <wp:docPr id="6" name="Resim 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13DD0C74-4657-C34B-ADA4-60607BF1604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5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13DD0C74-4657-C34B-ADA4-60607BF1604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084" cy="652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1" w:type="dxa"/>
          <w:vMerge w:val="restart"/>
        </w:tcPr>
        <w:p w:rsidR="006A13D8" w:rsidRDefault="006A13D8" w:rsidP="006A13D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  <w:p w:rsidR="006A13D8" w:rsidRDefault="006A13D8" w:rsidP="00784651">
          <w:pPr>
            <w:pStyle w:val="AralkYok"/>
            <w:jc w:val="center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  <w:r>
            <w:rPr>
              <w:rFonts w:asciiTheme="majorHAnsi" w:hAnsiTheme="majorHAnsi" w:cs="Times New Roman"/>
              <w:b/>
              <w:sz w:val="28"/>
              <w:szCs w:val="28"/>
              <w:u w:val="single"/>
            </w:rPr>
            <w:t xml:space="preserve">KONFERANS SALONU </w:t>
          </w:r>
          <w:r w:rsidR="00784651">
            <w:rPr>
              <w:rFonts w:asciiTheme="majorHAnsi" w:hAnsiTheme="majorHAnsi" w:cs="Times New Roman"/>
              <w:b/>
              <w:sz w:val="28"/>
              <w:szCs w:val="28"/>
              <w:u w:val="single"/>
            </w:rPr>
            <w:t xml:space="preserve">TANITIM </w:t>
          </w:r>
          <w:r>
            <w:rPr>
              <w:rFonts w:asciiTheme="majorHAnsi" w:hAnsiTheme="majorHAnsi" w:cs="Times New Roman"/>
              <w:b/>
              <w:sz w:val="28"/>
              <w:szCs w:val="28"/>
              <w:u w:val="single"/>
            </w:rPr>
            <w:t xml:space="preserve">FORMU </w:t>
          </w:r>
        </w:p>
      </w:tc>
      <w:tc>
        <w:tcPr>
          <w:tcW w:w="4315" w:type="dxa"/>
        </w:tcPr>
        <w:p w:rsidR="006A13D8" w:rsidRPr="005364F2" w:rsidRDefault="006A13D8" w:rsidP="006A13D8">
          <w:pPr>
            <w:pStyle w:val="AralkYok"/>
            <w:rPr>
              <w:rFonts w:asciiTheme="majorHAnsi" w:hAnsiTheme="majorHAnsi" w:cs="Times New Roman"/>
              <w:sz w:val="24"/>
              <w:szCs w:val="28"/>
            </w:rPr>
          </w:pPr>
          <w:r>
            <w:rPr>
              <w:rFonts w:asciiTheme="majorHAnsi" w:hAnsiTheme="majorHAnsi" w:cs="Times New Roman"/>
              <w:sz w:val="24"/>
              <w:szCs w:val="28"/>
            </w:rPr>
            <w:t xml:space="preserve">Doküman </w:t>
          </w:r>
          <w:proofErr w:type="gramStart"/>
          <w:r>
            <w:rPr>
              <w:rFonts w:asciiTheme="majorHAnsi" w:hAnsiTheme="majorHAnsi" w:cs="Times New Roman"/>
              <w:sz w:val="24"/>
              <w:szCs w:val="28"/>
            </w:rPr>
            <w:t>No:İD</w:t>
          </w:r>
          <w:proofErr w:type="gramEnd"/>
          <w:r>
            <w:rPr>
              <w:rFonts w:asciiTheme="majorHAnsi" w:hAnsiTheme="majorHAnsi" w:cs="Times New Roman"/>
              <w:sz w:val="24"/>
              <w:szCs w:val="28"/>
            </w:rPr>
            <w:t>.FR.14</w:t>
          </w:r>
        </w:p>
      </w:tc>
    </w:tr>
    <w:tr w:rsidR="006A13D8" w:rsidTr="00676D3D">
      <w:tblPrEx>
        <w:tblCellMar>
          <w:left w:w="108" w:type="dxa"/>
          <w:right w:w="108" w:type="dxa"/>
        </w:tblCellMar>
      </w:tblPrEx>
      <w:tc>
        <w:tcPr>
          <w:tcW w:w="3070" w:type="dxa"/>
          <w:vMerge/>
        </w:tcPr>
        <w:p w:rsidR="006A13D8" w:rsidRDefault="006A13D8" w:rsidP="006A13D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3071" w:type="dxa"/>
          <w:vMerge/>
        </w:tcPr>
        <w:p w:rsidR="006A13D8" w:rsidRDefault="006A13D8" w:rsidP="006A13D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4315" w:type="dxa"/>
        </w:tcPr>
        <w:p w:rsidR="006A13D8" w:rsidRPr="005364F2" w:rsidRDefault="006A13D8" w:rsidP="006A13D8">
          <w:pPr>
            <w:pStyle w:val="AralkYok"/>
            <w:rPr>
              <w:rFonts w:asciiTheme="majorHAnsi" w:hAnsiTheme="majorHAnsi" w:cs="Times New Roman"/>
              <w:sz w:val="24"/>
              <w:szCs w:val="28"/>
            </w:rPr>
          </w:pPr>
          <w:r w:rsidRPr="005364F2">
            <w:rPr>
              <w:rFonts w:asciiTheme="majorHAnsi" w:hAnsiTheme="majorHAnsi" w:cs="Times New Roman"/>
              <w:sz w:val="24"/>
              <w:szCs w:val="28"/>
            </w:rPr>
            <w:t xml:space="preserve">Yayın </w:t>
          </w:r>
          <w:r w:rsidR="00EA50EA">
            <w:rPr>
              <w:rFonts w:asciiTheme="majorHAnsi" w:hAnsiTheme="majorHAnsi" w:cs="Times New Roman"/>
              <w:sz w:val="24"/>
              <w:szCs w:val="28"/>
            </w:rPr>
            <w:t>Tarihi: 13</w:t>
          </w:r>
          <w:r>
            <w:rPr>
              <w:rFonts w:asciiTheme="majorHAnsi" w:hAnsiTheme="majorHAnsi" w:cs="Times New Roman"/>
              <w:sz w:val="24"/>
              <w:szCs w:val="28"/>
            </w:rPr>
            <w:t>.01.2022</w:t>
          </w:r>
        </w:p>
      </w:tc>
    </w:tr>
    <w:tr w:rsidR="006A13D8" w:rsidTr="00676D3D">
      <w:tblPrEx>
        <w:tblCellMar>
          <w:left w:w="108" w:type="dxa"/>
          <w:right w:w="108" w:type="dxa"/>
        </w:tblCellMar>
      </w:tblPrEx>
      <w:tc>
        <w:tcPr>
          <w:tcW w:w="3070" w:type="dxa"/>
          <w:vMerge/>
        </w:tcPr>
        <w:p w:rsidR="006A13D8" w:rsidRDefault="006A13D8" w:rsidP="006A13D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3071" w:type="dxa"/>
          <w:vMerge/>
        </w:tcPr>
        <w:p w:rsidR="006A13D8" w:rsidRDefault="006A13D8" w:rsidP="006A13D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4315" w:type="dxa"/>
        </w:tcPr>
        <w:p w:rsidR="006A13D8" w:rsidRPr="005364F2" w:rsidRDefault="006A13D8" w:rsidP="006A13D8">
          <w:pPr>
            <w:pStyle w:val="AralkYok"/>
            <w:rPr>
              <w:rFonts w:asciiTheme="majorHAnsi" w:hAnsiTheme="majorHAnsi" w:cs="Times New Roman"/>
              <w:sz w:val="24"/>
              <w:szCs w:val="28"/>
            </w:rPr>
          </w:pPr>
          <w:r w:rsidRPr="005364F2">
            <w:rPr>
              <w:rFonts w:asciiTheme="majorHAnsi" w:hAnsiTheme="majorHAnsi" w:cs="Times New Roman"/>
              <w:sz w:val="24"/>
              <w:szCs w:val="28"/>
            </w:rPr>
            <w:t>Revizyon No: 00</w:t>
          </w:r>
        </w:p>
      </w:tc>
    </w:tr>
    <w:tr w:rsidR="006A13D8" w:rsidTr="00676D3D">
      <w:tblPrEx>
        <w:tblCellMar>
          <w:left w:w="108" w:type="dxa"/>
          <w:right w:w="108" w:type="dxa"/>
        </w:tblCellMar>
      </w:tblPrEx>
      <w:tc>
        <w:tcPr>
          <w:tcW w:w="3070" w:type="dxa"/>
          <w:vMerge/>
        </w:tcPr>
        <w:p w:rsidR="006A13D8" w:rsidRDefault="006A13D8" w:rsidP="006A13D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3071" w:type="dxa"/>
          <w:vMerge/>
        </w:tcPr>
        <w:p w:rsidR="006A13D8" w:rsidRDefault="006A13D8" w:rsidP="006A13D8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4315" w:type="dxa"/>
        </w:tcPr>
        <w:p w:rsidR="006A13D8" w:rsidRPr="005364F2" w:rsidRDefault="006A13D8" w:rsidP="006A13D8">
          <w:pPr>
            <w:pStyle w:val="AralkYok"/>
            <w:rPr>
              <w:rFonts w:asciiTheme="majorHAnsi" w:hAnsiTheme="majorHAnsi" w:cs="Times New Roman"/>
              <w:sz w:val="24"/>
              <w:szCs w:val="28"/>
            </w:rPr>
          </w:pPr>
          <w:r w:rsidRPr="005364F2">
            <w:rPr>
              <w:rFonts w:asciiTheme="majorHAnsi" w:hAnsiTheme="majorHAnsi" w:cs="Times New Roman"/>
              <w:sz w:val="24"/>
              <w:szCs w:val="28"/>
            </w:rPr>
            <w:t xml:space="preserve">Revizyon </w:t>
          </w:r>
          <w:proofErr w:type="gramStart"/>
          <w:r w:rsidRPr="005364F2">
            <w:rPr>
              <w:rFonts w:asciiTheme="majorHAnsi" w:hAnsiTheme="majorHAnsi" w:cs="Times New Roman"/>
              <w:sz w:val="24"/>
              <w:szCs w:val="28"/>
            </w:rPr>
            <w:t>Tarihi : 00</w:t>
          </w:r>
          <w:proofErr w:type="gramEnd"/>
        </w:p>
      </w:tc>
    </w:tr>
  </w:tbl>
  <w:p w:rsidR="006A13D8" w:rsidRDefault="006A13D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09B"/>
    <w:multiLevelType w:val="hybridMultilevel"/>
    <w:tmpl w:val="9642DF46"/>
    <w:lvl w:ilvl="0" w:tplc="041F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23D416E"/>
    <w:multiLevelType w:val="hybridMultilevel"/>
    <w:tmpl w:val="CD8E41F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A7898"/>
    <w:multiLevelType w:val="hybridMultilevel"/>
    <w:tmpl w:val="27FC56DA"/>
    <w:lvl w:ilvl="0" w:tplc="041F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CBC72C9"/>
    <w:multiLevelType w:val="hybridMultilevel"/>
    <w:tmpl w:val="4E36E5A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304C4"/>
    <w:multiLevelType w:val="hybridMultilevel"/>
    <w:tmpl w:val="D460F4C8"/>
    <w:lvl w:ilvl="0" w:tplc="041F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ocumentProtection w:edit="readOnly" w:enforcement="1" w:cryptProviderType="rsaAES" w:cryptAlgorithmClass="hash" w:cryptAlgorithmType="typeAny" w:cryptAlgorithmSid="14" w:cryptSpinCount="100000" w:hash="3OK1khDY8gAZ4f0oYYvztg57Pok7fz2RSKx+p7zk+wceDbfE2liaC7qbIsAWX79oW5rUaR0JzSEXoQfz0A2SsA==" w:salt="vTme9m4oOmZa4paQcTU8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6"/>
    <w:rsid w:val="0002250C"/>
    <w:rsid w:val="000600A9"/>
    <w:rsid w:val="00076793"/>
    <w:rsid w:val="000D61C2"/>
    <w:rsid w:val="00156026"/>
    <w:rsid w:val="001C4EF3"/>
    <w:rsid w:val="00223BA2"/>
    <w:rsid w:val="00291E05"/>
    <w:rsid w:val="002A65ED"/>
    <w:rsid w:val="002F6DAD"/>
    <w:rsid w:val="003D442C"/>
    <w:rsid w:val="003D6941"/>
    <w:rsid w:val="003E020B"/>
    <w:rsid w:val="004178D6"/>
    <w:rsid w:val="005B3CBC"/>
    <w:rsid w:val="005D2F9E"/>
    <w:rsid w:val="006A13D8"/>
    <w:rsid w:val="00784651"/>
    <w:rsid w:val="008A6F37"/>
    <w:rsid w:val="008C6620"/>
    <w:rsid w:val="008E06B8"/>
    <w:rsid w:val="009A7B7A"/>
    <w:rsid w:val="00A223FF"/>
    <w:rsid w:val="00A333F3"/>
    <w:rsid w:val="00AA28D4"/>
    <w:rsid w:val="00AC7B43"/>
    <w:rsid w:val="00AE1959"/>
    <w:rsid w:val="00B01191"/>
    <w:rsid w:val="00B41EB7"/>
    <w:rsid w:val="00B60D84"/>
    <w:rsid w:val="00B84A5B"/>
    <w:rsid w:val="00C22685"/>
    <w:rsid w:val="00C90569"/>
    <w:rsid w:val="00CD50CB"/>
    <w:rsid w:val="00DD5873"/>
    <w:rsid w:val="00E40B5E"/>
    <w:rsid w:val="00E64150"/>
    <w:rsid w:val="00EA50EA"/>
    <w:rsid w:val="00FB345E"/>
    <w:rsid w:val="00FC12BC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2F4C8-E783-46B1-9BB5-C407C2A6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66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A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13D8"/>
  </w:style>
  <w:style w:type="paragraph" w:styleId="Altbilgi">
    <w:name w:val="footer"/>
    <w:basedOn w:val="Normal"/>
    <w:link w:val="AltbilgiChar"/>
    <w:uiPriority w:val="99"/>
    <w:unhideWhenUsed/>
    <w:rsid w:val="006A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13D8"/>
  </w:style>
  <w:style w:type="table" w:styleId="TabloKlavuzu">
    <w:name w:val="Table Grid"/>
    <w:basedOn w:val="NormalTablo"/>
    <w:uiPriority w:val="59"/>
    <w:rsid w:val="006A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6A13D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6A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292</Words>
  <Characters>1665</Characters>
  <Application>Microsoft Office Word</Application>
  <DocSecurity>8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kalite</cp:lastModifiedBy>
  <cp:revision>37</cp:revision>
  <dcterms:created xsi:type="dcterms:W3CDTF">2014-01-16T09:27:00Z</dcterms:created>
  <dcterms:modified xsi:type="dcterms:W3CDTF">2022-05-16T10:34:00Z</dcterms:modified>
</cp:coreProperties>
</file>